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A method of determining the Cost of Acquisition (“COA”) of such investments has been specifically laid down according to which the COA of such investments shall be deemed to be the </w:t>
      </w:r>
      <w:r w:rsidRPr="006B6EB2">
        <w:rPr>
          <w:rFonts w:ascii="Arial" w:hAnsi="Arial" w:cs="Arial"/>
          <w:b/>
          <w:bCs/>
          <w:color w:val="1E314F"/>
          <w:lang w:val="en-IN" w:eastAsia="en-IN"/>
        </w:rPr>
        <w:t>higher</w:t>
      </w:r>
      <w:r w:rsidRPr="006B6EB2">
        <w:rPr>
          <w:rFonts w:ascii="Arial" w:hAnsi="Arial" w:cs="Arial"/>
          <w:color w:val="1E314F"/>
          <w:lang w:val="en-IN" w:eastAsia="en-IN"/>
        </w:rPr>
        <w:t> of-</w:t>
      </w:r>
    </w:p>
    <w:p w:rsidR="006B6EB2" w:rsidRPr="006B6EB2" w:rsidRDefault="006B6EB2" w:rsidP="006B6EB2">
      <w:pPr>
        <w:numPr>
          <w:ilvl w:val="0"/>
          <w:numId w:val="1"/>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The </w:t>
      </w:r>
      <w:r w:rsidRPr="006B6EB2">
        <w:rPr>
          <w:rFonts w:ascii="Arial" w:hAnsi="Arial" w:cs="Arial"/>
          <w:b/>
          <w:bCs/>
          <w:color w:val="1E314F"/>
          <w:lang w:val="en-IN" w:eastAsia="en-IN"/>
        </w:rPr>
        <w:t>actual COA</w:t>
      </w:r>
      <w:r w:rsidRPr="006B6EB2">
        <w:rPr>
          <w:rFonts w:ascii="Arial" w:hAnsi="Arial" w:cs="Arial"/>
          <w:color w:val="1E314F"/>
          <w:lang w:val="en-IN" w:eastAsia="en-IN"/>
        </w:rPr>
        <w:t> of such investments; and</w:t>
      </w:r>
    </w:p>
    <w:p w:rsidR="006B6EB2" w:rsidRPr="006B6EB2" w:rsidRDefault="006B6EB2" w:rsidP="006B6EB2">
      <w:pPr>
        <w:numPr>
          <w:ilvl w:val="0"/>
          <w:numId w:val="1"/>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The</w:t>
      </w:r>
      <w:r w:rsidRPr="006B6EB2">
        <w:rPr>
          <w:rFonts w:ascii="Arial" w:hAnsi="Arial" w:cs="Arial"/>
          <w:b/>
          <w:bCs/>
          <w:color w:val="1E314F"/>
          <w:lang w:val="en-IN" w:eastAsia="en-IN"/>
        </w:rPr>
        <w:t> lower</w:t>
      </w:r>
      <w:r w:rsidRPr="006B6EB2">
        <w:rPr>
          <w:rFonts w:ascii="Arial" w:hAnsi="Arial" w:cs="Arial"/>
          <w:color w:val="1E314F"/>
          <w:lang w:val="en-IN" w:eastAsia="en-IN"/>
        </w:rPr>
        <w:t> of-</w:t>
      </w:r>
    </w:p>
    <w:p w:rsidR="006B6EB2" w:rsidRPr="006B6EB2" w:rsidRDefault="006B6EB2" w:rsidP="006B6EB2">
      <w:pPr>
        <w:numPr>
          <w:ilvl w:val="1"/>
          <w:numId w:val="1"/>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b/>
          <w:bCs/>
          <w:color w:val="1E314F"/>
          <w:lang w:val="en-IN" w:eastAsia="en-IN"/>
        </w:rPr>
        <w:t>Fair Market Value (‘FMV’)</w:t>
      </w:r>
      <w:r w:rsidRPr="006B6EB2">
        <w:rPr>
          <w:rFonts w:ascii="Arial" w:hAnsi="Arial" w:cs="Arial"/>
          <w:color w:val="1E314F"/>
          <w:lang w:val="en-IN" w:eastAsia="en-IN"/>
        </w:rPr>
        <w:t> of such investments; and</w:t>
      </w:r>
    </w:p>
    <w:p w:rsidR="006B6EB2" w:rsidRPr="006B6EB2" w:rsidRDefault="006B6EB2" w:rsidP="006B6EB2">
      <w:pPr>
        <w:numPr>
          <w:ilvl w:val="1"/>
          <w:numId w:val="1"/>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the </w:t>
      </w:r>
      <w:r w:rsidRPr="006B6EB2">
        <w:rPr>
          <w:rFonts w:ascii="Arial" w:hAnsi="Arial" w:cs="Arial"/>
          <w:b/>
          <w:bCs/>
          <w:color w:val="1E314F"/>
          <w:lang w:val="en-IN" w:eastAsia="en-IN"/>
        </w:rPr>
        <w:t>Full Value of Consideration</w:t>
      </w:r>
      <w:r w:rsidRPr="006B6EB2">
        <w:rPr>
          <w:rFonts w:ascii="Arial" w:hAnsi="Arial" w:cs="Arial"/>
          <w:color w:val="1E314F"/>
          <w:lang w:val="en-IN" w:eastAsia="en-IN"/>
        </w:rPr>
        <w:t> received or accruing as a result of the transfer of the capital asset i.e. the</w:t>
      </w:r>
      <w:r w:rsidRPr="006B6EB2">
        <w:rPr>
          <w:rFonts w:ascii="Arial" w:hAnsi="Arial" w:cs="Arial"/>
          <w:b/>
          <w:bCs/>
          <w:color w:val="1E314F"/>
          <w:lang w:val="en-IN" w:eastAsia="en-IN"/>
        </w:rPr>
        <w:t> Sale Price</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 xml:space="preserve">Further, the FMV would be the highest price quoted on the recognized stock exchange on 31 January 2018. In case there is no trading of the said asset in such stock exchange, the highest price on a day immediately </w:t>
      </w:r>
      <w:proofErr w:type="gramStart"/>
      <w:r w:rsidRPr="006B6EB2">
        <w:rPr>
          <w:rFonts w:ascii="Arial" w:hAnsi="Arial" w:cs="Arial"/>
          <w:color w:val="1E314F"/>
          <w:lang w:val="en-IN" w:eastAsia="en-IN"/>
        </w:rPr>
        <w:t>preceding</w:t>
      </w:r>
      <w:proofErr w:type="gramEnd"/>
      <w:r w:rsidRPr="006B6EB2">
        <w:rPr>
          <w:rFonts w:ascii="Arial" w:hAnsi="Arial" w:cs="Arial"/>
          <w:color w:val="1E314F"/>
          <w:lang w:val="en-IN" w:eastAsia="en-IN"/>
        </w:rPr>
        <w:t xml:space="preserve"> 31st January 2018 shall be considered to be the FMV. In effect, the taxpayer can claim the highest price quoted on the recognized stock exchange on 31 January 2018 as the COA and claim the deduction for the same.</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The computation mechanism has been further explained by way of the following examples</w:t>
      </w:r>
    </w:p>
    <w:p w:rsidR="006B6EB2" w:rsidRPr="006B6EB2" w:rsidRDefault="006B6EB2" w:rsidP="006B6EB2">
      <w:pPr>
        <w:shd w:val="clear" w:color="auto" w:fill="FFFFFF"/>
        <w:spacing w:after="150"/>
        <w:jc w:val="both"/>
        <w:rPr>
          <w:rFonts w:ascii="Arial" w:hAnsi="Arial" w:cs="Arial"/>
          <w:color w:val="1E314F"/>
          <w:lang w:val="en-IN" w:eastAsia="en-IN"/>
        </w:rPr>
      </w:pPr>
      <w:r w:rsidRPr="006B6EB2">
        <w:rPr>
          <w:rFonts w:ascii="Arial" w:hAnsi="Arial" w:cs="Arial"/>
          <w:b/>
          <w:bCs/>
          <w:color w:val="1E314F"/>
          <w:lang w:val="en-IN" w:eastAsia="en-IN"/>
        </w:rPr>
        <w:t>Capital Gain/ Loss = </w:t>
      </w:r>
      <w:r w:rsidRPr="006B6EB2">
        <w:rPr>
          <w:rFonts w:ascii="Arial" w:hAnsi="Arial" w:cs="Arial"/>
          <w:color w:val="1E314F"/>
          <w:lang w:val="en-IN" w:eastAsia="en-IN"/>
        </w:rPr>
        <w:t>Sale Price – Revised Cost of   Acquisition on 31.1.2018</w:t>
      </w:r>
    </w:p>
    <w:p w:rsidR="006B6EB2" w:rsidRPr="006B6EB2" w:rsidRDefault="006B6EB2" w:rsidP="006B6EB2">
      <w:pPr>
        <w:shd w:val="clear" w:color="auto" w:fill="FFFFFF"/>
        <w:spacing w:before="300" w:after="150"/>
        <w:outlineLvl w:val="2"/>
        <w:rPr>
          <w:rFonts w:ascii="Arial" w:hAnsi="Arial" w:cs="Arial"/>
          <w:color w:val="1E314F"/>
          <w:sz w:val="36"/>
          <w:szCs w:val="36"/>
          <w:lang w:val="en-IN" w:eastAsia="en-IN"/>
        </w:rPr>
      </w:pPr>
      <w:r w:rsidRPr="006B6EB2">
        <w:rPr>
          <w:rFonts w:ascii="Arial" w:hAnsi="Arial" w:cs="Arial"/>
          <w:b/>
          <w:bCs/>
          <w:color w:val="1E314F"/>
          <w:sz w:val="36"/>
          <w:szCs w:val="36"/>
          <w:lang w:val="en-IN" w:eastAsia="en-IN"/>
        </w:rPr>
        <w:t>Example 1</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Mr X bought equity shares on 15/Dec/2016 for Rs. 10,000. FMV of the shares was Rs. 12,000 as on 31/Jan/18. He sold the shares on 10/May/2018 for Rs. 15,000. What will be the long-term capital gain/ loss?</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Cost of Acquisition (COA)</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Higher of –</w:t>
      </w:r>
    </w:p>
    <w:p w:rsidR="006B6EB2" w:rsidRPr="006B6EB2" w:rsidRDefault="006B6EB2" w:rsidP="006B6EB2">
      <w:pPr>
        <w:numPr>
          <w:ilvl w:val="0"/>
          <w:numId w:val="2"/>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Original COA i.e. Rs. 10,000, </w:t>
      </w:r>
      <w:r w:rsidRPr="006B6EB2">
        <w:rPr>
          <w:rFonts w:ascii="Arial" w:hAnsi="Arial" w:cs="Arial"/>
          <w:i/>
          <w:iCs/>
          <w:color w:val="1E314F"/>
          <w:lang w:val="en-IN" w:eastAsia="en-IN"/>
        </w:rPr>
        <w:t>and</w:t>
      </w:r>
      <w:r w:rsidRPr="006B6EB2">
        <w:rPr>
          <w:rFonts w:ascii="Arial" w:hAnsi="Arial" w:cs="Arial"/>
          <w:color w:val="1E314F"/>
          <w:lang w:val="en-IN" w:eastAsia="en-IN"/>
        </w:rPr>
        <w:t>  </w:t>
      </w:r>
    </w:p>
    <w:p w:rsidR="006B6EB2" w:rsidRPr="006B6EB2" w:rsidRDefault="006B6EB2" w:rsidP="006B6EB2">
      <w:pPr>
        <w:numPr>
          <w:ilvl w:val="0"/>
          <w:numId w:val="2"/>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Lower of –</w:t>
      </w:r>
    </w:p>
    <w:p w:rsidR="006B6EB2" w:rsidRPr="006B6EB2" w:rsidRDefault="006B6EB2" w:rsidP="006B6EB2">
      <w:pPr>
        <w:numPr>
          <w:ilvl w:val="1"/>
          <w:numId w:val="2"/>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FMV on 31.1.18 i.e. Rs. 12,000, </w:t>
      </w:r>
      <w:r w:rsidRPr="006B6EB2">
        <w:rPr>
          <w:rFonts w:ascii="Arial" w:hAnsi="Arial" w:cs="Arial"/>
          <w:i/>
          <w:iCs/>
          <w:color w:val="1E314F"/>
          <w:lang w:val="en-IN" w:eastAsia="en-IN"/>
        </w:rPr>
        <w:t>and</w:t>
      </w:r>
    </w:p>
    <w:p w:rsidR="006B6EB2" w:rsidRPr="006B6EB2" w:rsidRDefault="006B6EB2" w:rsidP="006B6EB2">
      <w:pPr>
        <w:numPr>
          <w:ilvl w:val="1"/>
          <w:numId w:val="2"/>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i.e. Rs. 15,000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Hence, COA = Higher of (Rs. 10,000 or Rs. 12,000) = </w:t>
      </w:r>
      <w:r w:rsidRPr="006B6EB2">
        <w:rPr>
          <w:rFonts w:ascii="Arial" w:hAnsi="Arial" w:cs="Arial"/>
          <w:b/>
          <w:bCs/>
          <w:color w:val="1E314F"/>
          <w:lang w:val="en-IN" w:eastAsia="en-IN"/>
        </w:rPr>
        <w:t>Rs. 12,000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Capital Gain/ (Loss)</w:t>
      </w:r>
    </w:p>
    <w:p w:rsidR="006B6EB2" w:rsidRPr="006B6EB2" w:rsidRDefault="006B6EB2" w:rsidP="006B6EB2">
      <w:pPr>
        <w:numPr>
          <w:ilvl w:val="0"/>
          <w:numId w:val="3"/>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 Cost of Acquisition</w:t>
      </w:r>
    </w:p>
    <w:p w:rsidR="006B6EB2" w:rsidRPr="006B6EB2" w:rsidRDefault="006B6EB2" w:rsidP="006B6EB2">
      <w:pPr>
        <w:numPr>
          <w:ilvl w:val="0"/>
          <w:numId w:val="3"/>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Rs. 15,000 – Rs. 12,000</w:t>
      </w:r>
    </w:p>
    <w:p w:rsidR="006B6EB2" w:rsidRPr="006B6EB2" w:rsidRDefault="006B6EB2" w:rsidP="006B6EB2">
      <w:pPr>
        <w:numPr>
          <w:ilvl w:val="0"/>
          <w:numId w:val="3"/>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b/>
          <w:bCs/>
          <w:color w:val="1E314F"/>
          <w:lang w:val="en-IN" w:eastAsia="en-IN"/>
        </w:rPr>
        <w:t>Rs. 3,000</w:t>
      </w:r>
    </w:p>
    <w:p w:rsidR="006B6EB2" w:rsidRPr="006B6EB2" w:rsidRDefault="006B6EB2" w:rsidP="006B6EB2">
      <w:pPr>
        <w:shd w:val="clear" w:color="auto" w:fill="FFFFFF"/>
        <w:spacing w:before="300" w:after="150"/>
        <w:outlineLvl w:val="2"/>
        <w:rPr>
          <w:rFonts w:ascii="Arial" w:hAnsi="Arial" w:cs="Arial"/>
          <w:color w:val="1E314F"/>
          <w:sz w:val="36"/>
          <w:szCs w:val="36"/>
          <w:lang w:val="en-IN" w:eastAsia="en-IN"/>
        </w:rPr>
      </w:pPr>
      <w:r w:rsidRPr="006B6EB2">
        <w:rPr>
          <w:rFonts w:ascii="Arial" w:hAnsi="Arial" w:cs="Arial"/>
          <w:b/>
          <w:bCs/>
          <w:color w:val="1E314F"/>
          <w:sz w:val="36"/>
          <w:szCs w:val="36"/>
          <w:lang w:val="en-IN" w:eastAsia="en-IN"/>
        </w:rPr>
        <w:t>Example 2</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 xml:space="preserve">Mr. </w:t>
      </w:r>
      <w:proofErr w:type="gramStart"/>
      <w:r w:rsidRPr="006B6EB2">
        <w:rPr>
          <w:rFonts w:ascii="Arial" w:hAnsi="Arial" w:cs="Arial"/>
          <w:color w:val="1E314F"/>
          <w:lang w:val="en-IN" w:eastAsia="en-IN"/>
        </w:rPr>
        <w:t>A</w:t>
      </w:r>
      <w:proofErr w:type="gramEnd"/>
      <w:r w:rsidRPr="006B6EB2">
        <w:rPr>
          <w:rFonts w:ascii="Arial" w:hAnsi="Arial" w:cs="Arial"/>
          <w:color w:val="1E314F"/>
          <w:lang w:val="en-IN" w:eastAsia="en-IN"/>
        </w:rPr>
        <w:t xml:space="preserve"> purchased equity shares on 20/Jan/2017 for Rs. 16,000. FMV of the shares was Rs. 11,000 as on 31/Jan/18. He sold the shares on 26/Apr/2018 for Rs. 26,000. What will be the long-term capital gain/ loss?</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Cost of Acquisition (COA)</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lastRenderedPageBreak/>
        <w:t>Higher of –</w:t>
      </w:r>
    </w:p>
    <w:p w:rsidR="006B6EB2" w:rsidRPr="006B6EB2" w:rsidRDefault="006B6EB2" w:rsidP="006B6EB2">
      <w:pPr>
        <w:numPr>
          <w:ilvl w:val="0"/>
          <w:numId w:val="4"/>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Original COA i.e. Rs. 16,000, </w:t>
      </w:r>
      <w:r w:rsidRPr="006B6EB2">
        <w:rPr>
          <w:rFonts w:ascii="Arial" w:hAnsi="Arial" w:cs="Arial"/>
          <w:i/>
          <w:iCs/>
          <w:color w:val="1E314F"/>
          <w:lang w:val="en-IN" w:eastAsia="en-IN"/>
        </w:rPr>
        <w:t>and</w:t>
      </w:r>
      <w:r w:rsidRPr="006B6EB2">
        <w:rPr>
          <w:rFonts w:ascii="Arial" w:hAnsi="Arial" w:cs="Arial"/>
          <w:color w:val="1E314F"/>
          <w:lang w:val="en-IN" w:eastAsia="en-IN"/>
        </w:rPr>
        <w:t>  </w:t>
      </w:r>
    </w:p>
    <w:p w:rsidR="006B6EB2" w:rsidRPr="006B6EB2" w:rsidRDefault="006B6EB2" w:rsidP="006B6EB2">
      <w:pPr>
        <w:numPr>
          <w:ilvl w:val="0"/>
          <w:numId w:val="4"/>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Lower of –</w:t>
      </w:r>
    </w:p>
    <w:p w:rsidR="006B6EB2" w:rsidRPr="006B6EB2" w:rsidRDefault="006B6EB2" w:rsidP="006B6EB2">
      <w:pPr>
        <w:numPr>
          <w:ilvl w:val="1"/>
          <w:numId w:val="4"/>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FMV on 31.1.18 i.e. Rs. 11,000, </w:t>
      </w:r>
      <w:r w:rsidRPr="006B6EB2">
        <w:rPr>
          <w:rFonts w:ascii="Arial" w:hAnsi="Arial" w:cs="Arial"/>
          <w:i/>
          <w:iCs/>
          <w:color w:val="1E314F"/>
          <w:lang w:val="en-IN" w:eastAsia="en-IN"/>
        </w:rPr>
        <w:t>and</w:t>
      </w:r>
    </w:p>
    <w:p w:rsidR="006B6EB2" w:rsidRPr="006B6EB2" w:rsidRDefault="006B6EB2" w:rsidP="006B6EB2">
      <w:pPr>
        <w:numPr>
          <w:ilvl w:val="1"/>
          <w:numId w:val="4"/>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i.e. Rs. 26,000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Hence, COA = Higher of (Rs. 16,000 or Rs. 11,000) = </w:t>
      </w:r>
      <w:r w:rsidRPr="006B6EB2">
        <w:rPr>
          <w:rFonts w:ascii="Arial" w:hAnsi="Arial" w:cs="Arial"/>
          <w:b/>
          <w:bCs/>
          <w:color w:val="1E314F"/>
          <w:lang w:val="en-IN" w:eastAsia="en-IN"/>
        </w:rPr>
        <w:t>Rs. 16,000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Capital Gain/ (Loss)</w:t>
      </w:r>
    </w:p>
    <w:p w:rsidR="006B6EB2" w:rsidRPr="006B6EB2" w:rsidRDefault="006B6EB2" w:rsidP="006B6EB2">
      <w:pPr>
        <w:numPr>
          <w:ilvl w:val="0"/>
          <w:numId w:val="5"/>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 Cost of Acquisition</w:t>
      </w:r>
    </w:p>
    <w:p w:rsidR="006B6EB2" w:rsidRPr="006B6EB2" w:rsidRDefault="006B6EB2" w:rsidP="006B6EB2">
      <w:pPr>
        <w:numPr>
          <w:ilvl w:val="0"/>
          <w:numId w:val="5"/>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Rs. 26,000 – Rs. 16,000</w:t>
      </w:r>
    </w:p>
    <w:p w:rsidR="006B6EB2" w:rsidRPr="006B6EB2" w:rsidRDefault="006B6EB2" w:rsidP="006B6EB2">
      <w:pPr>
        <w:numPr>
          <w:ilvl w:val="0"/>
          <w:numId w:val="5"/>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b/>
          <w:bCs/>
          <w:color w:val="1E314F"/>
          <w:lang w:val="en-IN" w:eastAsia="en-IN"/>
        </w:rPr>
        <w:t>Rs. 10,000</w:t>
      </w:r>
    </w:p>
    <w:p w:rsidR="006B6EB2" w:rsidRPr="006B6EB2" w:rsidRDefault="006B6EB2" w:rsidP="006B6EB2">
      <w:pPr>
        <w:shd w:val="clear" w:color="auto" w:fill="FFFFFF"/>
        <w:spacing w:before="300" w:after="150"/>
        <w:outlineLvl w:val="2"/>
        <w:rPr>
          <w:rFonts w:ascii="Arial" w:hAnsi="Arial" w:cs="Arial"/>
          <w:color w:val="1E314F"/>
          <w:sz w:val="36"/>
          <w:szCs w:val="36"/>
          <w:lang w:val="en-IN" w:eastAsia="en-IN"/>
        </w:rPr>
      </w:pPr>
      <w:r w:rsidRPr="006B6EB2">
        <w:rPr>
          <w:rFonts w:ascii="Arial" w:hAnsi="Arial" w:cs="Arial"/>
          <w:b/>
          <w:bCs/>
          <w:color w:val="1E314F"/>
          <w:sz w:val="36"/>
          <w:szCs w:val="36"/>
          <w:lang w:val="en-IN" w:eastAsia="en-IN"/>
        </w:rPr>
        <w:t>Example 3</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Mr. D bought equity shares on 11-Nov-2016 for Rs. 19,500. FMV of the shares was Rs. 12,000 as on 31-Jan-18. He sold the shares on 21-May-2018 for Rs. 9,000. What will be the long-term capital gain/ loss?</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Cost of Acquisition (COA)</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Higher of –</w:t>
      </w:r>
    </w:p>
    <w:p w:rsidR="006B6EB2" w:rsidRPr="006B6EB2" w:rsidRDefault="006B6EB2" w:rsidP="006B6EB2">
      <w:pPr>
        <w:numPr>
          <w:ilvl w:val="0"/>
          <w:numId w:val="6"/>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Original COA i.e. Rs. 19,500, </w:t>
      </w:r>
      <w:r w:rsidRPr="006B6EB2">
        <w:rPr>
          <w:rFonts w:ascii="Arial" w:hAnsi="Arial" w:cs="Arial"/>
          <w:i/>
          <w:iCs/>
          <w:color w:val="1E314F"/>
          <w:lang w:val="en-IN" w:eastAsia="en-IN"/>
        </w:rPr>
        <w:t>and</w:t>
      </w:r>
      <w:r w:rsidRPr="006B6EB2">
        <w:rPr>
          <w:rFonts w:ascii="Arial" w:hAnsi="Arial" w:cs="Arial"/>
          <w:color w:val="1E314F"/>
          <w:lang w:val="en-IN" w:eastAsia="en-IN"/>
        </w:rPr>
        <w:t>  </w:t>
      </w:r>
    </w:p>
    <w:p w:rsidR="006B6EB2" w:rsidRPr="006B6EB2" w:rsidRDefault="006B6EB2" w:rsidP="006B6EB2">
      <w:pPr>
        <w:numPr>
          <w:ilvl w:val="0"/>
          <w:numId w:val="6"/>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Lower of –</w:t>
      </w:r>
    </w:p>
    <w:p w:rsidR="006B6EB2" w:rsidRPr="006B6EB2" w:rsidRDefault="006B6EB2" w:rsidP="006B6EB2">
      <w:pPr>
        <w:numPr>
          <w:ilvl w:val="1"/>
          <w:numId w:val="6"/>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FMV on 31.1.18 i.e. Rs. 12,000, </w:t>
      </w:r>
      <w:r w:rsidRPr="006B6EB2">
        <w:rPr>
          <w:rFonts w:ascii="Arial" w:hAnsi="Arial" w:cs="Arial"/>
          <w:i/>
          <w:iCs/>
          <w:color w:val="1E314F"/>
          <w:lang w:val="en-IN" w:eastAsia="en-IN"/>
        </w:rPr>
        <w:t>and</w:t>
      </w:r>
    </w:p>
    <w:p w:rsidR="006B6EB2" w:rsidRPr="006B6EB2" w:rsidRDefault="006B6EB2" w:rsidP="006B6EB2">
      <w:pPr>
        <w:numPr>
          <w:ilvl w:val="1"/>
          <w:numId w:val="6"/>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i.e. Rs. 9,000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Hence, COA = Higher of (Rs. 19,500 or Rs. 9,000) = </w:t>
      </w:r>
      <w:r w:rsidRPr="006B6EB2">
        <w:rPr>
          <w:rFonts w:ascii="Arial" w:hAnsi="Arial" w:cs="Arial"/>
          <w:b/>
          <w:bCs/>
          <w:color w:val="1E314F"/>
          <w:lang w:val="en-IN" w:eastAsia="en-IN"/>
        </w:rPr>
        <w:t>Rs. 19,500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Capital Gain/ (Loss)</w:t>
      </w:r>
    </w:p>
    <w:p w:rsidR="006B6EB2" w:rsidRPr="006B6EB2" w:rsidRDefault="006B6EB2" w:rsidP="006B6EB2">
      <w:pPr>
        <w:numPr>
          <w:ilvl w:val="0"/>
          <w:numId w:val="7"/>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 Cost of Acquisition</w:t>
      </w:r>
    </w:p>
    <w:p w:rsidR="006B6EB2" w:rsidRPr="006B6EB2" w:rsidRDefault="006B6EB2" w:rsidP="006B6EB2">
      <w:pPr>
        <w:numPr>
          <w:ilvl w:val="0"/>
          <w:numId w:val="7"/>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Rs. 9,000 – Rs. 19,500</w:t>
      </w:r>
    </w:p>
    <w:p w:rsidR="006B6EB2" w:rsidRPr="006B6EB2" w:rsidRDefault="006B6EB2" w:rsidP="006B6EB2">
      <w:pPr>
        <w:numPr>
          <w:ilvl w:val="0"/>
          <w:numId w:val="7"/>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b/>
          <w:bCs/>
          <w:color w:val="1E314F"/>
          <w:lang w:val="en-IN" w:eastAsia="en-IN"/>
        </w:rPr>
        <w:t>Rs. (10,500)</w:t>
      </w:r>
    </w:p>
    <w:p w:rsidR="006B6EB2" w:rsidRPr="006B6EB2" w:rsidRDefault="006B6EB2" w:rsidP="006B6EB2">
      <w:pPr>
        <w:shd w:val="clear" w:color="auto" w:fill="FFFFFF"/>
        <w:spacing w:before="300" w:after="150"/>
        <w:outlineLvl w:val="2"/>
        <w:rPr>
          <w:rFonts w:ascii="Arial" w:hAnsi="Arial" w:cs="Arial"/>
          <w:color w:val="1E314F"/>
          <w:sz w:val="36"/>
          <w:szCs w:val="36"/>
          <w:lang w:val="en-IN" w:eastAsia="en-IN"/>
        </w:rPr>
      </w:pPr>
      <w:r w:rsidRPr="006B6EB2">
        <w:rPr>
          <w:rFonts w:ascii="Arial" w:hAnsi="Arial" w:cs="Arial"/>
          <w:b/>
          <w:bCs/>
          <w:color w:val="1E314F"/>
          <w:sz w:val="36"/>
          <w:szCs w:val="36"/>
          <w:lang w:val="en-IN" w:eastAsia="en-IN"/>
        </w:rPr>
        <w:t>Example 4</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Mr. D bought equity shares on 23/Oct/2016 for Rs. 14,500. FMV of the shares was Rs. 18,000 as on 31/Jan/18. He sold the shares on 18/May/2018 for Rs. 7,000. What will be the long-term capital gain/ loss?</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Cost of Acquisition (COA)</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t>Higher of –</w:t>
      </w:r>
    </w:p>
    <w:p w:rsidR="006B6EB2" w:rsidRPr="006B6EB2" w:rsidRDefault="006B6EB2" w:rsidP="006B6EB2">
      <w:pPr>
        <w:numPr>
          <w:ilvl w:val="0"/>
          <w:numId w:val="8"/>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Original COA i.e. Rs. 14,500, </w:t>
      </w:r>
      <w:r w:rsidRPr="006B6EB2">
        <w:rPr>
          <w:rFonts w:ascii="Arial" w:hAnsi="Arial" w:cs="Arial"/>
          <w:i/>
          <w:iCs/>
          <w:color w:val="1E314F"/>
          <w:lang w:val="en-IN" w:eastAsia="en-IN"/>
        </w:rPr>
        <w:t>and</w:t>
      </w:r>
      <w:r w:rsidRPr="006B6EB2">
        <w:rPr>
          <w:rFonts w:ascii="Arial" w:hAnsi="Arial" w:cs="Arial"/>
          <w:color w:val="1E314F"/>
          <w:lang w:val="en-IN" w:eastAsia="en-IN"/>
        </w:rPr>
        <w:t>  </w:t>
      </w:r>
    </w:p>
    <w:p w:rsidR="006B6EB2" w:rsidRPr="006B6EB2" w:rsidRDefault="006B6EB2" w:rsidP="006B6EB2">
      <w:pPr>
        <w:numPr>
          <w:ilvl w:val="0"/>
          <w:numId w:val="8"/>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Lower of –</w:t>
      </w:r>
    </w:p>
    <w:p w:rsidR="006B6EB2" w:rsidRPr="006B6EB2" w:rsidRDefault="006B6EB2" w:rsidP="006B6EB2">
      <w:pPr>
        <w:numPr>
          <w:ilvl w:val="1"/>
          <w:numId w:val="8"/>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FMV on 31.1.18 i.e. Rs. 18,000, </w:t>
      </w:r>
      <w:r w:rsidRPr="006B6EB2">
        <w:rPr>
          <w:rFonts w:ascii="Arial" w:hAnsi="Arial" w:cs="Arial"/>
          <w:i/>
          <w:iCs/>
          <w:color w:val="1E314F"/>
          <w:lang w:val="en-IN" w:eastAsia="en-IN"/>
        </w:rPr>
        <w:t>and</w:t>
      </w:r>
    </w:p>
    <w:p w:rsidR="006B6EB2" w:rsidRPr="006B6EB2" w:rsidRDefault="006B6EB2" w:rsidP="006B6EB2">
      <w:pPr>
        <w:numPr>
          <w:ilvl w:val="1"/>
          <w:numId w:val="8"/>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i.e. Rs. 7,000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color w:val="1E314F"/>
          <w:lang w:val="en-IN" w:eastAsia="en-IN"/>
        </w:rPr>
        <w:lastRenderedPageBreak/>
        <w:t>Hence, COA = Higher of (Rs. 14,500 or Rs. 7,000) = </w:t>
      </w:r>
      <w:r w:rsidRPr="006B6EB2">
        <w:rPr>
          <w:rFonts w:ascii="Arial" w:hAnsi="Arial" w:cs="Arial"/>
          <w:b/>
          <w:bCs/>
          <w:color w:val="1E314F"/>
          <w:lang w:val="en-IN" w:eastAsia="en-IN"/>
        </w:rPr>
        <w:t>Rs. 14,500</w:t>
      </w:r>
    </w:p>
    <w:p w:rsidR="006B6EB2" w:rsidRPr="006B6EB2" w:rsidRDefault="006B6EB2" w:rsidP="006B6EB2">
      <w:pPr>
        <w:shd w:val="clear" w:color="auto" w:fill="FFFFFF"/>
        <w:spacing w:after="150"/>
        <w:rPr>
          <w:rFonts w:ascii="Arial" w:hAnsi="Arial" w:cs="Arial"/>
          <w:color w:val="1E314F"/>
          <w:lang w:val="en-IN" w:eastAsia="en-IN"/>
        </w:rPr>
      </w:pPr>
      <w:r w:rsidRPr="006B6EB2">
        <w:rPr>
          <w:rFonts w:ascii="Arial" w:hAnsi="Arial" w:cs="Arial"/>
          <w:b/>
          <w:bCs/>
          <w:color w:val="1E314F"/>
          <w:lang w:val="en-IN" w:eastAsia="en-IN"/>
        </w:rPr>
        <w:t>Capital Gain/ (Loss)</w:t>
      </w:r>
    </w:p>
    <w:p w:rsidR="006B6EB2" w:rsidRPr="006B6EB2" w:rsidRDefault="006B6EB2" w:rsidP="006B6EB2">
      <w:pPr>
        <w:numPr>
          <w:ilvl w:val="0"/>
          <w:numId w:val="9"/>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Sale Price – Cost of Acquisition</w:t>
      </w:r>
    </w:p>
    <w:p w:rsidR="006B6EB2" w:rsidRPr="006B6EB2" w:rsidRDefault="006B6EB2" w:rsidP="006B6EB2">
      <w:pPr>
        <w:numPr>
          <w:ilvl w:val="0"/>
          <w:numId w:val="9"/>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color w:val="1E314F"/>
          <w:lang w:val="en-IN" w:eastAsia="en-IN"/>
        </w:rPr>
        <w:t>Rs. 7,000 – Rs. 14,500</w:t>
      </w:r>
    </w:p>
    <w:p w:rsidR="006B6EB2" w:rsidRPr="006B6EB2" w:rsidRDefault="006B6EB2" w:rsidP="006B6EB2">
      <w:pPr>
        <w:numPr>
          <w:ilvl w:val="0"/>
          <w:numId w:val="9"/>
        </w:numPr>
        <w:shd w:val="clear" w:color="auto" w:fill="FFFFFF"/>
        <w:spacing w:before="100" w:beforeAutospacing="1" w:after="100" w:afterAutospacing="1"/>
        <w:rPr>
          <w:rFonts w:ascii="Arial" w:hAnsi="Arial" w:cs="Arial"/>
          <w:color w:val="1E314F"/>
          <w:lang w:val="en-IN" w:eastAsia="en-IN"/>
        </w:rPr>
      </w:pPr>
      <w:r w:rsidRPr="006B6EB2">
        <w:rPr>
          <w:rFonts w:ascii="Arial" w:hAnsi="Arial" w:cs="Arial"/>
          <w:b/>
          <w:bCs/>
          <w:color w:val="1E314F"/>
          <w:lang w:val="en-IN" w:eastAsia="en-IN"/>
        </w:rPr>
        <w:t>Rs. (7,500)</w:t>
      </w:r>
    </w:p>
    <w:p w:rsidR="00AD40F5" w:rsidRDefault="00AD40F5"/>
    <w:sectPr w:rsidR="00AD40F5" w:rsidSect="00AD40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144"/>
    <w:multiLevelType w:val="multilevel"/>
    <w:tmpl w:val="81EE2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2178A5"/>
    <w:multiLevelType w:val="multilevel"/>
    <w:tmpl w:val="33B4F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850AF"/>
    <w:multiLevelType w:val="multilevel"/>
    <w:tmpl w:val="09DA3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B6B38"/>
    <w:multiLevelType w:val="multilevel"/>
    <w:tmpl w:val="1982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40510"/>
    <w:multiLevelType w:val="multilevel"/>
    <w:tmpl w:val="D16A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B15DC"/>
    <w:multiLevelType w:val="multilevel"/>
    <w:tmpl w:val="B1FE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D0FF9"/>
    <w:multiLevelType w:val="multilevel"/>
    <w:tmpl w:val="EB7EF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1553A8"/>
    <w:multiLevelType w:val="multilevel"/>
    <w:tmpl w:val="3BEE7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CE0683"/>
    <w:multiLevelType w:val="multilevel"/>
    <w:tmpl w:val="E47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EB2"/>
    <w:rsid w:val="00427428"/>
    <w:rsid w:val="006B6EB2"/>
    <w:rsid w:val="00AD40F5"/>
    <w:rsid w:val="00EE55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28"/>
    <w:rPr>
      <w:sz w:val="24"/>
      <w:szCs w:val="24"/>
      <w:lang w:val="en-GB" w:eastAsia="en-GB"/>
    </w:rPr>
  </w:style>
  <w:style w:type="paragraph" w:styleId="Heading3">
    <w:name w:val="heading 3"/>
    <w:basedOn w:val="Normal"/>
    <w:link w:val="Heading3Char"/>
    <w:uiPriority w:val="9"/>
    <w:qFormat/>
    <w:rsid w:val="006B6EB2"/>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27428"/>
    <w:rPr>
      <w:b/>
      <w:bCs/>
    </w:rPr>
  </w:style>
  <w:style w:type="character" w:styleId="Emphasis">
    <w:name w:val="Emphasis"/>
    <w:basedOn w:val="DefaultParagraphFont"/>
    <w:qFormat/>
    <w:rsid w:val="00427428"/>
    <w:rPr>
      <w:i/>
      <w:iCs/>
    </w:rPr>
  </w:style>
  <w:style w:type="paragraph" w:styleId="ListParagraph">
    <w:name w:val="List Paragraph"/>
    <w:basedOn w:val="Normal"/>
    <w:uiPriority w:val="34"/>
    <w:qFormat/>
    <w:rsid w:val="00427428"/>
    <w:pPr>
      <w:ind w:left="720"/>
    </w:pPr>
  </w:style>
  <w:style w:type="character" w:customStyle="1" w:styleId="Heading3Char">
    <w:name w:val="Heading 3 Char"/>
    <w:basedOn w:val="DefaultParagraphFont"/>
    <w:link w:val="Heading3"/>
    <w:uiPriority w:val="9"/>
    <w:rsid w:val="006B6EB2"/>
    <w:rPr>
      <w:b/>
      <w:bCs/>
      <w:sz w:val="27"/>
      <w:szCs w:val="27"/>
    </w:rPr>
  </w:style>
  <w:style w:type="paragraph" w:styleId="NormalWeb">
    <w:name w:val="Normal (Web)"/>
    <w:basedOn w:val="Normal"/>
    <w:uiPriority w:val="99"/>
    <w:semiHidden/>
    <w:unhideWhenUsed/>
    <w:rsid w:val="006B6EB2"/>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13452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2019-06-12T08:16:00Z</dcterms:created>
  <dcterms:modified xsi:type="dcterms:W3CDTF">2019-06-12T08:17:00Z</dcterms:modified>
</cp:coreProperties>
</file>